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EB6606" w:rsidRDefault="009A2DF2">
      <w:pPr>
        <w:pStyle w:val="Title"/>
        <w:pBdr>
          <w:top w:val="nil"/>
          <w:left w:val="nil"/>
          <w:bottom w:val="nil"/>
          <w:right w:val="nil"/>
          <w:between w:val="nil"/>
        </w:pBdr>
      </w:pPr>
      <w:bookmarkStart w:id="0" w:name="_gjdgxs" w:colFirst="0" w:colLast="0"/>
      <w:bookmarkEnd w:id="0"/>
      <w:r>
        <w:t>Women’s Health in Prisons</w:t>
      </w:r>
    </w:p>
    <w:p w14:paraId="00000002" w14:textId="77777777" w:rsidR="00EB6606" w:rsidRDefault="00EB6606">
      <w:pPr>
        <w:pStyle w:val="Subtitle"/>
        <w:pBdr>
          <w:top w:val="nil"/>
          <w:left w:val="nil"/>
          <w:bottom w:val="nil"/>
          <w:right w:val="nil"/>
          <w:between w:val="nil"/>
        </w:pBdr>
      </w:pPr>
      <w:bookmarkStart w:id="1" w:name="_30j0zll" w:colFirst="0" w:colLast="0"/>
      <w:bookmarkEnd w:id="1"/>
    </w:p>
    <w:p w14:paraId="00000003" w14:textId="77777777" w:rsidR="00EB6606" w:rsidRDefault="009A2DF2">
      <w:pPr>
        <w:pStyle w:val="Subtitle"/>
        <w:pBdr>
          <w:top w:val="nil"/>
          <w:left w:val="nil"/>
          <w:bottom w:val="nil"/>
          <w:right w:val="nil"/>
          <w:between w:val="nil"/>
        </w:pBdr>
      </w:pPr>
      <w:bookmarkStart w:id="2" w:name="_1fob9te" w:colFirst="0" w:colLast="0"/>
      <w:bookmarkEnd w:id="2"/>
      <w:r>
        <w:t xml:space="preserve">Lily Levin, Lillie McGowan, </w:t>
      </w:r>
      <w:proofErr w:type="spellStart"/>
      <w:r>
        <w:t>Pualina</w:t>
      </w:r>
      <w:proofErr w:type="spellEnd"/>
      <w:r>
        <w:t xml:space="preserve"> Mendez, Alexia Cruz</w:t>
      </w:r>
    </w:p>
    <w:p w14:paraId="00000004" w14:textId="77777777" w:rsidR="00EB6606" w:rsidRDefault="009A2DF2">
      <w:pPr>
        <w:pStyle w:val="Subtitle"/>
        <w:pBdr>
          <w:top w:val="nil"/>
          <w:left w:val="nil"/>
          <w:bottom w:val="nil"/>
          <w:right w:val="nil"/>
          <w:between w:val="nil"/>
        </w:pBdr>
      </w:pPr>
      <w:bookmarkStart w:id="3" w:name="_3znysh7" w:colFirst="0" w:colLast="0"/>
      <w:bookmarkEnd w:id="3"/>
      <w:r>
        <w:t>University of Georgia</w:t>
      </w:r>
    </w:p>
    <w:p w14:paraId="00000005" w14:textId="77777777" w:rsidR="00EB6606" w:rsidRDefault="009A2DF2">
      <w:pPr>
        <w:pStyle w:val="Subtitle"/>
        <w:rPr>
          <w:i/>
          <w:iCs/>
        </w:rPr>
      </w:pPr>
      <w:bookmarkStart w:id="4" w:name="_2et92p0" w:colFirst="0" w:colLast="0"/>
      <w:bookmarkEnd w:id="4"/>
      <w:r>
        <w:t>HPRB 3150: Women’s Health</w:t>
      </w:r>
      <w:r>
        <w:rPr>
          <w:i/>
          <w:iCs/>
        </w:rPr>
        <w:t xml:space="preserve"> </w:t>
      </w:r>
    </w:p>
    <w:p w14:paraId="00000006" w14:textId="77777777" w:rsidR="00EB6606" w:rsidRDefault="009A2DF2">
      <w:pPr>
        <w:pStyle w:val="Subtitle"/>
        <w:rPr>
          <w:i/>
          <w:iCs/>
        </w:rPr>
      </w:pPr>
      <w:bookmarkStart w:id="5" w:name="_tyjcwt" w:colFirst="0" w:colLast="0"/>
      <w:bookmarkEnd w:id="5"/>
      <w:r>
        <w:t xml:space="preserve">Dr. Katie Hien </w:t>
      </w:r>
    </w:p>
    <w:p w14:paraId="00000007" w14:textId="77777777" w:rsidR="00EB6606" w:rsidRDefault="009A2DF2">
      <w:pPr>
        <w:pStyle w:val="Subtitle"/>
        <w:rPr>
          <w:i/>
          <w:iCs/>
        </w:rPr>
      </w:pPr>
      <w:bookmarkStart w:id="6" w:name="_3dy6vkm" w:colFirst="0" w:colLast="0"/>
      <w:bookmarkEnd w:id="6"/>
      <w:r>
        <w:t>April 24, 2025</w:t>
      </w:r>
    </w:p>
    <w:p w14:paraId="00000008" w14:textId="77777777" w:rsidR="00EB6606" w:rsidRDefault="00EB6606">
      <w:pPr>
        <w:pStyle w:val="Heading1"/>
        <w:pBdr>
          <w:top w:val="nil"/>
          <w:left w:val="nil"/>
          <w:bottom w:val="nil"/>
          <w:right w:val="nil"/>
          <w:between w:val="nil"/>
        </w:pBdr>
      </w:pPr>
      <w:bookmarkStart w:id="7" w:name="_blvuzk55cd7" w:colFirst="0" w:colLast="0"/>
      <w:bookmarkEnd w:id="7"/>
    </w:p>
    <w:p w14:paraId="00000009" w14:textId="77777777" w:rsidR="00EB6606" w:rsidRDefault="00EB6606">
      <w:pPr>
        <w:pStyle w:val="Heading1"/>
        <w:pBdr>
          <w:top w:val="nil"/>
          <w:left w:val="nil"/>
          <w:bottom w:val="nil"/>
          <w:right w:val="nil"/>
          <w:between w:val="nil"/>
        </w:pBdr>
      </w:pPr>
      <w:bookmarkStart w:id="8" w:name="_khd0ovfnzz9t" w:colFirst="0" w:colLast="0"/>
      <w:bookmarkEnd w:id="8"/>
    </w:p>
    <w:p w14:paraId="0000000A" w14:textId="77777777" w:rsidR="00EB6606" w:rsidRDefault="00EB6606">
      <w:pPr>
        <w:pStyle w:val="Heading1"/>
        <w:pBdr>
          <w:top w:val="nil"/>
          <w:left w:val="nil"/>
          <w:bottom w:val="nil"/>
          <w:right w:val="nil"/>
          <w:between w:val="nil"/>
        </w:pBdr>
      </w:pPr>
      <w:bookmarkStart w:id="9" w:name="_xx6bvs2fzw4z" w:colFirst="0" w:colLast="0"/>
      <w:bookmarkEnd w:id="9"/>
    </w:p>
    <w:p w14:paraId="0000000B" w14:textId="77777777" w:rsidR="00EB6606" w:rsidRDefault="00EB6606">
      <w:pPr>
        <w:pStyle w:val="Heading1"/>
        <w:pBdr>
          <w:top w:val="nil"/>
          <w:left w:val="nil"/>
          <w:bottom w:val="nil"/>
          <w:right w:val="nil"/>
          <w:between w:val="nil"/>
        </w:pBdr>
      </w:pPr>
      <w:bookmarkStart w:id="10" w:name="_fkbd4awv06ix" w:colFirst="0" w:colLast="0"/>
      <w:bookmarkEnd w:id="10"/>
    </w:p>
    <w:p w14:paraId="0000000C" w14:textId="77777777" w:rsidR="00EB6606" w:rsidRDefault="00EB6606">
      <w:pPr>
        <w:pStyle w:val="Heading1"/>
        <w:pBdr>
          <w:top w:val="nil"/>
          <w:left w:val="nil"/>
          <w:bottom w:val="nil"/>
          <w:right w:val="nil"/>
          <w:between w:val="nil"/>
        </w:pBdr>
      </w:pPr>
      <w:bookmarkStart w:id="11" w:name="_ua9sx6b75qmt" w:colFirst="0" w:colLast="0"/>
      <w:bookmarkEnd w:id="11"/>
    </w:p>
    <w:p w14:paraId="0000000D" w14:textId="77777777" w:rsidR="00EB6606" w:rsidRDefault="00EB6606">
      <w:pPr>
        <w:pStyle w:val="Heading1"/>
        <w:pBdr>
          <w:top w:val="nil"/>
          <w:left w:val="nil"/>
          <w:bottom w:val="nil"/>
          <w:right w:val="nil"/>
          <w:between w:val="nil"/>
        </w:pBdr>
      </w:pPr>
      <w:bookmarkStart w:id="12" w:name="_m5m9bemt6sk9" w:colFirst="0" w:colLast="0"/>
      <w:bookmarkEnd w:id="12"/>
    </w:p>
    <w:p w14:paraId="0000000E" w14:textId="77777777" w:rsidR="00EB6606" w:rsidRDefault="00EB6606">
      <w:pPr>
        <w:pStyle w:val="Heading1"/>
        <w:pBdr>
          <w:top w:val="nil"/>
          <w:left w:val="nil"/>
          <w:bottom w:val="nil"/>
          <w:right w:val="nil"/>
          <w:between w:val="nil"/>
        </w:pBdr>
      </w:pPr>
      <w:bookmarkStart w:id="13" w:name="_28880kq2uiw7" w:colFirst="0" w:colLast="0"/>
      <w:bookmarkEnd w:id="13"/>
    </w:p>
    <w:p w14:paraId="0000000F" w14:textId="77777777" w:rsidR="00EB6606" w:rsidRDefault="00EB6606">
      <w:pPr>
        <w:pStyle w:val="Heading1"/>
        <w:pBdr>
          <w:top w:val="nil"/>
          <w:left w:val="nil"/>
          <w:bottom w:val="nil"/>
          <w:right w:val="nil"/>
          <w:between w:val="nil"/>
        </w:pBdr>
      </w:pPr>
      <w:bookmarkStart w:id="14" w:name="_jzx090sjjkv" w:colFirst="0" w:colLast="0"/>
      <w:bookmarkEnd w:id="14"/>
    </w:p>
    <w:p w14:paraId="00000010" w14:textId="77777777" w:rsidR="00EB6606" w:rsidRDefault="00EB6606">
      <w:pPr>
        <w:pStyle w:val="Heading1"/>
        <w:pBdr>
          <w:top w:val="nil"/>
          <w:left w:val="nil"/>
          <w:bottom w:val="nil"/>
          <w:right w:val="nil"/>
          <w:between w:val="nil"/>
        </w:pBdr>
      </w:pPr>
      <w:bookmarkStart w:id="15" w:name="_w5gxql3awbaf" w:colFirst="0" w:colLast="0"/>
      <w:bookmarkEnd w:id="15"/>
    </w:p>
    <w:p w14:paraId="00000011" w14:textId="77777777" w:rsidR="00EB6606" w:rsidRDefault="00EB6606">
      <w:pPr>
        <w:pStyle w:val="Heading1"/>
        <w:pBdr>
          <w:top w:val="nil"/>
          <w:left w:val="nil"/>
          <w:bottom w:val="nil"/>
          <w:right w:val="nil"/>
          <w:between w:val="nil"/>
        </w:pBdr>
      </w:pPr>
      <w:bookmarkStart w:id="16" w:name="_8mv5v5ahse6q" w:colFirst="0" w:colLast="0"/>
      <w:bookmarkEnd w:id="16"/>
    </w:p>
    <w:p w14:paraId="00000012" w14:textId="77777777" w:rsidR="00EB6606" w:rsidRDefault="00EB6606">
      <w:pPr>
        <w:pStyle w:val="Heading1"/>
        <w:pBdr>
          <w:top w:val="nil"/>
          <w:left w:val="nil"/>
          <w:bottom w:val="nil"/>
          <w:right w:val="nil"/>
          <w:between w:val="nil"/>
        </w:pBdr>
      </w:pPr>
      <w:bookmarkStart w:id="17" w:name="_tj338ezeu7ra" w:colFirst="0" w:colLast="0"/>
      <w:bookmarkEnd w:id="17"/>
    </w:p>
    <w:p w14:paraId="00000013" w14:textId="77777777" w:rsidR="00EB6606" w:rsidRDefault="00EB6606">
      <w:pPr>
        <w:pStyle w:val="Heading1"/>
        <w:pBdr>
          <w:top w:val="nil"/>
          <w:left w:val="nil"/>
          <w:bottom w:val="nil"/>
          <w:right w:val="nil"/>
          <w:between w:val="nil"/>
        </w:pBdr>
      </w:pPr>
      <w:bookmarkStart w:id="18" w:name="_xkdlydbgg5ld" w:colFirst="0" w:colLast="0"/>
      <w:bookmarkEnd w:id="18"/>
    </w:p>
    <w:p w14:paraId="00000014" w14:textId="77777777" w:rsidR="00EB6606" w:rsidRDefault="00EB6606">
      <w:pPr>
        <w:pStyle w:val="Heading1"/>
        <w:pBdr>
          <w:top w:val="nil"/>
          <w:left w:val="nil"/>
          <w:bottom w:val="nil"/>
          <w:right w:val="nil"/>
          <w:between w:val="nil"/>
        </w:pBdr>
      </w:pPr>
      <w:bookmarkStart w:id="19" w:name="_3cnsw4quwo0y" w:colFirst="0" w:colLast="0"/>
      <w:bookmarkEnd w:id="19"/>
    </w:p>
    <w:p w14:paraId="00000015" w14:textId="77777777" w:rsidR="00EB6606" w:rsidRDefault="009A2DF2">
      <w:pPr>
        <w:pStyle w:val="Heading1"/>
        <w:pBdr>
          <w:top w:val="nil"/>
          <w:left w:val="nil"/>
          <w:bottom w:val="nil"/>
          <w:right w:val="nil"/>
          <w:between w:val="nil"/>
        </w:pBdr>
      </w:pPr>
      <w:bookmarkStart w:id="20" w:name="_4d34og8" w:colFirst="0" w:colLast="0"/>
      <w:bookmarkEnd w:id="20"/>
      <w:r>
        <w:lastRenderedPageBreak/>
        <w:t>Abstract</w:t>
      </w:r>
    </w:p>
    <w:p w14:paraId="00000016" w14:textId="77777777" w:rsidR="00EB6606" w:rsidRDefault="009A2DF2">
      <w:pPr>
        <w:ind w:firstLine="720"/>
      </w:pPr>
      <w:r>
        <w:t>This project explores the intersection of gender and incarceration, with a specific focus on reproductive and general healthcare access for women in prison. Key issues include limited access to prenatal care, the use of restraints during labor, untreated mental health conditions, and inadequate screening and treatment for sexually transmitted infections. Many incarcerated women are mothers, and up to 4% are pregnant upon entry, yet systemic barriers often deny them proper maternal support and postpartum car</w:t>
      </w:r>
      <w:r>
        <w:t xml:space="preserve">e. The study also highlights the psychological and physical impacts of incarceration on women, particularly regarding separation from children, access to addiction treatment, and the transition back into society. This work investigates practical implementations and community-based interventions, emphasizing programs like </w:t>
      </w:r>
      <w:proofErr w:type="spellStart"/>
      <w:r>
        <w:t>SisterHearts</w:t>
      </w:r>
      <w:proofErr w:type="spellEnd"/>
      <w:r>
        <w:t xml:space="preserve"> and the Georgia Center for Opportunity. This poster calls for a gender-sensitive approach to correctional healthcare policy and practice to better meet the needs of this vulner</w:t>
      </w:r>
      <w:r>
        <w:t xml:space="preserve">able population. </w:t>
      </w:r>
    </w:p>
    <w:p w14:paraId="00000017" w14:textId="77777777" w:rsidR="00EB6606" w:rsidRDefault="00EB6606">
      <w:pPr>
        <w:ind w:firstLine="720"/>
      </w:pPr>
    </w:p>
    <w:p w14:paraId="00000018" w14:textId="77777777" w:rsidR="00EB6606" w:rsidRDefault="00EB6606">
      <w:pPr>
        <w:spacing w:before="240" w:after="240"/>
      </w:pPr>
    </w:p>
    <w:p w14:paraId="00000019" w14:textId="77777777" w:rsidR="00EB6606" w:rsidRDefault="00EB6606">
      <w:pPr>
        <w:pBdr>
          <w:top w:val="nil"/>
          <w:left w:val="nil"/>
          <w:bottom w:val="nil"/>
          <w:right w:val="nil"/>
          <w:between w:val="nil"/>
        </w:pBdr>
      </w:pPr>
    </w:p>
    <w:p w14:paraId="0000001A" w14:textId="77777777" w:rsidR="00EB6606" w:rsidRDefault="009A2DF2">
      <w:r>
        <w:br w:type="page"/>
      </w:r>
    </w:p>
    <w:p w14:paraId="0000001B" w14:textId="77777777" w:rsidR="00EB6606" w:rsidRDefault="009A2DF2">
      <w:pPr>
        <w:pStyle w:val="Heading1"/>
        <w:pBdr>
          <w:top w:val="nil"/>
          <w:left w:val="nil"/>
          <w:bottom w:val="nil"/>
          <w:right w:val="nil"/>
          <w:between w:val="nil"/>
        </w:pBdr>
      </w:pPr>
      <w:bookmarkStart w:id="21" w:name="_2s8eyo1" w:colFirst="0" w:colLast="0"/>
      <w:bookmarkEnd w:id="21"/>
      <w:r>
        <w:lastRenderedPageBreak/>
        <w:t>Introduction</w:t>
      </w:r>
    </w:p>
    <w:p w14:paraId="0000001C" w14:textId="77777777" w:rsidR="00EB6606" w:rsidRDefault="009A2DF2">
      <w:pPr>
        <w:ind w:firstLine="720"/>
      </w:pPr>
      <w:r>
        <w:t>The U.S. has the highest incarceration rate per capita in the world– roughly 580 per 100,00 residents– and has been the case for the last two decades (Initiative &amp; Wagner, n.d.). The incarceration system costs the United States about $182 billion each year and a large portion of people who are incarcerated for drug offenses, about 1 in 5 (Initiative &amp; Wagner, n.d.). In Georgia, these drug offenses include methamphetamine, cocaine, and marijuana (Georgia Department of Corrections, 2024). In addition to that,</w:t>
      </w:r>
      <w:r>
        <w:t xml:space="preserve"> in 2024, black men were admitted the most for drug crime at 52.2%, meanwhile white women were the most admitted for drug crime at 81.32% in Georgia (Georgia Department of Corrections, 2023). </w:t>
      </w:r>
    </w:p>
    <w:p w14:paraId="0000001D" w14:textId="77777777" w:rsidR="00EB6606" w:rsidRDefault="009A2DF2">
      <w:pPr>
        <w:ind w:firstLine="720"/>
      </w:pPr>
      <w:r>
        <w:t>Women represent one of the fastest-growing populations within the U.S correctional system, facing disproportionately high rates of incarceration and unique health challenges compared to their male counterparts. Nationally, a large percentage of women who are incarcerated are there due to drug and poverty offenses (50%) (Initiative &amp; Sawyer, n.d.). It is important to note that a large percentage of women who are arrested are held in jails for longer periods of time, roughly about 60% of women (Initiative &amp; S</w:t>
      </w:r>
      <w:r>
        <w:t xml:space="preserve">awyer, n.d.). Jails serve as a temporary holding facility for individuals who are waiting for their </w:t>
      </w:r>
      <w:proofErr w:type="gramStart"/>
      <w:r>
        <w:t>trail</w:t>
      </w:r>
      <w:proofErr w:type="gramEnd"/>
      <w:r>
        <w:t xml:space="preserve"> if there is no bond met. This subsequently results in health disparities because these jails do not have the resources and capacity to hold individuals for longer periods of time, which results into an increase in mortality in these women (Initiative &amp; Sawyer, n.d.).  </w:t>
      </w:r>
    </w:p>
    <w:p w14:paraId="0000001E" w14:textId="77777777" w:rsidR="00EB6606" w:rsidRDefault="009A2DF2">
      <w:pPr>
        <w:ind w:firstLine="720"/>
      </w:pPr>
      <w:r>
        <w:t xml:space="preserve">Incarceration </w:t>
      </w:r>
      <w:proofErr w:type="spellStart"/>
      <w:r>
        <w:t>presentes</w:t>
      </w:r>
      <w:proofErr w:type="spellEnd"/>
      <w:r>
        <w:t xml:space="preserve"> a magnitude of health disparities that lead to a high mortality rate among these women, such as basic healthcare, maternal health, and reentry challenges that generate a low quality of life. </w:t>
      </w:r>
    </w:p>
    <w:p w14:paraId="0000001F" w14:textId="77777777" w:rsidR="00EB6606" w:rsidRDefault="009A2DF2">
      <w:pPr>
        <w:pStyle w:val="Heading1"/>
        <w:pBdr>
          <w:top w:val="nil"/>
          <w:left w:val="nil"/>
          <w:bottom w:val="nil"/>
          <w:right w:val="nil"/>
          <w:between w:val="nil"/>
        </w:pBdr>
      </w:pPr>
      <w:bookmarkStart w:id="22" w:name="_35nkun2" w:colFirst="0" w:colLast="0"/>
      <w:bookmarkEnd w:id="22"/>
      <w:r>
        <w:lastRenderedPageBreak/>
        <w:t>Results</w:t>
      </w:r>
    </w:p>
    <w:p w14:paraId="00000020" w14:textId="77777777" w:rsidR="00EB6606" w:rsidRDefault="009A2DF2">
      <w:pPr>
        <w:pStyle w:val="Heading2"/>
        <w:pBdr>
          <w:top w:val="nil"/>
          <w:left w:val="nil"/>
          <w:bottom w:val="nil"/>
          <w:right w:val="nil"/>
          <w:between w:val="nil"/>
        </w:pBdr>
      </w:pPr>
      <w:bookmarkStart w:id="23" w:name="_1ksv4uv" w:colFirst="0" w:colLast="0"/>
      <w:bookmarkEnd w:id="23"/>
      <w:r>
        <w:t>Basic Healthcare</w:t>
      </w:r>
    </w:p>
    <w:p w14:paraId="00000021" w14:textId="77777777" w:rsidR="00EB6606" w:rsidRDefault="009A2DF2">
      <w:pPr>
        <w:ind w:firstLine="720"/>
      </w:pPr>
      <w:r>
        <w:t xml:space="preserve">Incarcerated women face significant barriers when it comes to accessing even the most basic forms of healthcare. Unlike the general population, individuals in correctional settings often rely entirely on the prison system to meet their medical needs. This dependence is complicated by institutional challenges such as understaffing, lack of funding, inadequate facilities, and outdated policies that fail to consider gender-specific needs. While all prisoners are legally entitled to healthcare under the Eighth </w:t>
      </w:r>
      <w:r>
        <w:t>Amendment, which prohibits cruel and unusual punishment, the reality is that many incarcerated women receive care that is delayed, substandard, or dismissive of their medical concerns.</w:t>
      </w:r>
    </w:p>
    <w:p w14:paraId="00000022" w14:textId="77777777" w:rsidR="00EB6606" w:rsidRDefault="009A2DF2">
      <w:pPr>
        <w:ind w:firstLine="720"/>
      </w:pPr>
      <w:r>
        <w:t>Basic healthcare in prisons includes general medical evaluations, access to medications, chronic illness management, and care for acute illnesses or injuries. However, for many incarcerated women, even routine check-ups or timely responses to symptoms can be difficult to obtain. Medical requests often require written forms and long wait times, with follow-up care being inconsistent or non-existent. Some correctional facilities charge co-pays for medical visits, creating a financial barrier for women who typ</w:t>
      </w:r>
      <w:r>
        <w:t>ically earn less than a dollar per hour through prison labor if they are employed at all. This discourages many from seeking help, even when the need is serious.</w:t>
      </w:r>
    </w:p>
    <w:p w14:paraId="00000023" w14:textId="77777777" w:rsidR="00EB6606" w:rsidRDefault="009A2DF2">
      <w:pPr>
        <w:ind w:firstLine="720"/>
      </w:pPr>
      <w:r>
        <w:t xml:space="preserve">A particularly critical area within basic healthcare is reproductive health. Many incarcerated women are of childbearing age and may arrive in prison already pregnant or with untreated gynecological issues. Yet prisons are often ill-equipped to handle pregnancy care or ensure access to contraception, pap smears, or STI testing. In some states, restraints are still used during labor and delivery, a practice that has been condemned by major medical associations due </w:t>
      </w:r>
      <w:r>
        <w:lastRenderedPageBreak/>
        <w:t xml:space="preserve">to the physical and psychological </w:t>
      </w:r>
      <w:proofErr w:type="gramStart"/>
      <w:r>
        <w:t>harm</w:t>
      </w:r>
      <w:proofErr w:type="gramEnd"/>
      <w:r>
        <w:t xml:space="preserve"> it causes. Women may also face difficulty accessing menstrual products, which are sometimes distributed in limited quantities or not at all, creating both hygiene and dignity concerns. </w:t>
      </w:r>
    </w:p>
    <w:p w14:paraId="00000024" w14:textId="77777777" w:rsidR="00EB6606" w:rsidRDefault="009A2DF2">
      <w:pPr>
        <w:ind w:firstLine="720"/>
      </w:pPr>
      <w:r>
        <w:t>Mental health is another essential component of basic healthcare that is frequently neglected in prisons. A significant proportion of incarcerated women have experienced trauma, abuse, or mental illness prior to their incarceration. Despite this, they may not receive proper evaluations or consistent access to mental health counseling and medication. Instead, symptoms are often punished as disciplinary problems rather than treated as health concerns. This leads to a cycle of neglect and further deterioration</w:t>
      </w:r>
      <w:r>
        <w:t xml:space="preserve"> of mental and emotional well-being.  </w:t>
      </w:r>
    </w:p>
    <w:p w14:paraId="00000025" w14:textId="77777777" w:rsidR="00EB6606" w:rsidRDefault="009A2DF2">
      <w:pPr>
        <w:ind w:firstLine="720"/>
      </w:pPr>
      <w:r>
        <w:t>Overall, the lack of access to consistent, respectful, and gender-informed healthcare in prison is not just a public health issue. It is also a human rights issue. Addressing these disparities requires systemic change, including improved staffing and training, updated policies that recognize the specific health needs of women, and investment in both in-prison care and community-based reentry support. Ensuring that incarcerated women receive the basic healthcare they need is a crucial step toward promoting d</w:t>
      </w:r>
      <w:r>
        <w:t xml:space="preserve">ignity, preventing further harm, and supporting their successful reintegration into society. </w:t>
      </w:r>
    </w:p>
    <w:p w14:paraId="00000026" w14:textId="77777777" w:rsidR="00EB6606" w:rsidRDefault="009A2DF2">
      <w:pPr>
        <w:pStyle w:val="Heading2"/>
        <w:pBdr>
          <w:top w:val="nil"/>
          <w:left w:val="nil"/>
          <w:bottom w:val="nil"/>
          <w:right w:val="nil"/>
          <w:between w:val="nil"/>
        </w:pBdr>
      </w:pPr>
      <w:bookmarkStart w:id="24" w:name="_44sinio" w:colFirst="0" w:colLast="0"/>
      <w:bookmarkEnd w:id="24"/>
      <w:r>
        <w:t>Maternal Health</w:t>
      </w:r>
    </w:p>
    <w:p w14:paraId="00000027" w14:textId="77777777" w:rsidR="00EB6606" w:rsidRDefault="009A2DF2">
      <w:r>
        <w:tab/>
        <w:t xml:space="preserve">Maternal health for women in prison has been a rising issue in the public health world because it is extremely under-examined. The number of incarcerated women has increased every year; therefore, pregnancy during incarceration has become a rising concern. Correctional facilities are not required to track women’s </w:t>
      </w:r>
      <w:proofErr w:type="gramStart"/>
      <w:r>
        <w:t>pregnancies</w:t>
      </w:r>
      <w:proofErr w:type="gramEnd"/>
      <w:r>
        <w:t xml:space="preserve"> and many facilities do not have the resources or technology to keep track of pregnant women. Prenatal care for incarcerated women raises a large concern because many facilities do not have the resources or funds which are </w:t>
      </w:r>
      <w:r>
        <w:lastRenderedPageBreak/>
        <w:t xml:space="preserve">complicated by maternal trauma, poor nutrition, substance use, mental illness, etc. The health care women need while pregnant is more </w:t>
      </w:r>
      <w:proofErr w:type="gramStart"/>
      <w:r>
        <w:t>extreme</w:t>
      </w:r>
      <w:proofErr w:type="gramEnd"/>
      <w:r>
        <w:t xml:space="preserve"> but the system is originally designed for men therefore the healthcare system fails the pregnant women. Prenatal care is shared among th</w:t>
      </w:r>
      <w:r>
        <w:t xml:space="preserve">e inmates and correctional medical </w:t>
      </w:r>
      <w:proofErr w:type="gramStart"/>
      <w:r>
        <w:t>staff</w:t>
      </w:r>
      <w:proofErr w:type="gramEnd"/>
      <w:r>
        <w:t xml:space="preserve"> so women are only getting treated for a limited time and are often dismissed without getting the proper care that is needed. There is a lack of privacy between the women and their doctors as well because correction officers are often present during their appointment. Pregnant women in prison have a lack of freedom which strongly affects their sleeping times and medication administration (Friedman, et. al.). </w:t>
      </w:r>
    </w:p>
    <w:p w14:paraId="00000028" w14:textId="77777777" w:rsidR="00EB6606" w:rsidRDefault="009A2DF2">
      <w:r>
        <w:tab/>
        <w:t xml:space="preserve">Early pregnancy detection is essential to be able to provide the proper care needed for the mother and baby as soon as possible with the prenatal care and being able to identify women who are at risk for </w:t>
      </w:r>
      <w:proofErr w:type="gramStart"/>
      <w:r>
        <w:t>high risk</w:t>
      </w:r>
      <w:proofErr w:type="gramEnd"/>
      <w:r>
        <w:t xml:space="preserve"> pregnancies. Although pregnancy testing is recommended, it is not routine for these facilities. For many women childbirth and delivery is already a </w:t>
      </w:r>
      <w:proofErr w:type="gramStart"/>
      <w:r>
        <w:t>nerve wracking</w:t>
      </w:r>
      <w:proofErr w:type="gramEnd"/>
      <w:r>
        <w:t xml:space="preserve"> experience and for incarcerated mothers it adds extra anxiety and distress because of the lack of control, limited health education, and being alone in the experience. Stress is also added to these new mothers because infants are separated from their mothers </w:t>
      </w:r>
      <w:proofErr w:type="gramStart"/>
      <w:r>
        <w:t>fairly quickly</w:t>
      </w:r>
      <w:proofErr w:type="gramEnd"/>
      <w:r>
        <w:t xml:space="preserve"> and these stressors are then associated with maternal depression,</w:t>
      </w:r>
      <w:r>
        <w:t xml:space="preserve"> preterm delivery, and low birth weights. There have been many helpful programs that have been able to support and educate mothers. Motherhood Beyond Bars in Georgia provides pregnant mothers with health education, nutrition counseling and support from peers (Friedman, et. al.). </w:t>
      </w:r>
    </w:p>
    <w:p w14:paraId="00000029" w14:textId="77777777" w:rsidR="00EB6606" w:rsidRDefault="009A2DF2">
      <w:r>
        <w:tab/>
        <w:t xml:space="preserve">Shackling and restraints have been a controversy in the prison setting because they are used to prevent women from escaping or harming themselves which has been controversial because women are not usually violent offenders. There are negative health effects of using restraints that include limited mobility, increased blood clots, and interference with mother infant </w:t>
      </w:r>
      <w:r>
        <w:lastRenderedPageBreak/>
        <w:t xml:space="preserve">bonding. In 2018, Congress passed the First Step Act that prohibits shackling of pregnant women in federal custody except when necessary. </w:t>
      </w:r>
    </w:p>
    <w:p w14:paraId="0000002A" w14:textId="77777777" w:rsidR="00EB6606" w:rsidRDefault="009A2DF2">
      <w:r>
        <w:tab/>
        <w:t xml:space="preserve">Since mothers and their newborns are separated soon after birth mothers cannot breastfeed so infants cannot get the benefits of breastfeeding. Incarcerated women lack access to breastfeeding pumping equipment and lack privacy because officers are present during visits. Infants and older children are placed with either family members or put into foster care. It is difficult for incarcerated mothers to keep parental rights of their </w:t>
      </w:r>
      <w:proofErr w:type="gramStart"/>
      <w:r>
        <w:t>children</w:t>
      </w:r>
      <w:proofErr w:type="gramEnd"/>
      <w:r>
        <w:t xml:space="preserve"> but most women keep in contact with their children while in prison. There are barriers to prevent children from seeing their mothers because of the lack of transportation services compared to men’s prisons. The poor contact between mothers and their children </w:t>
      </w:r>
      <w:proofErr w:type="gramStart"/>
      <w:r>
        <w:t>have</w:t>
      </w:r>
      <w:proofErr w:type="gramEnd"/>
      <w:r>
        <w:t xml:space="preserve"> negative impacts that can affect </w:t>
      </w:r>
      <w:proofErr w:type="gramStart"/>
      <w:r>
        <w:t>the children</w:t>
      </w:r>
      <w:proofErr w:type="gramEnd"/>
      <w:r>
        <w:t xml:space="preserve"> such as depression, anxiety, and higher rates of criminality. There are many negative effects on the children of incarcerated women and there needs to be a lot more support to treat these famil</w:t>
      </w:r>
      <w:r>
        <w:t xml:space="preserve">ies who need help.  (Friedman, et. al.). </w:t>
      </w:r>
    </w:p>
    <w:p w14:paraId="0000002B" w14:textId="77777777" w:rsidR="00EB6606" w:rsidRDefault="009A2DF2">
      <w:pPr>
        <w:pStyle w:val="Heading2"/>
      </w:pPr>
      <w:bookmarkStart w:id="25" w:name="_s5tifh14taud" w:colFirst="0" w:colLast="0"/>
      <w:bookmarkEnd w:id="25"/>
      <w:r>
        <w:t xml:space="preserve">Reentry back to their communities </w:t>
      </w:r>
    </w:p>
    <w:p w14:paraId="0000002C" w14:textId="77777777" w:rsidR="00EB6606" w:rsidRDefault="009A2DF2">
      <w:pPr>
        <w:ind w:firstLine="720"/>
      </w:pPr>
      <w:r>
        <w:t xml:space="preserve">Reentry is the transition from a person being incarcerated, going back into their communities. About 2.5 million women are released from prisons yearly (Initiative &amp; Sawyer, n.d.). There are many challenges individuals face upon entering their communities and about half of women that are released will reoffend within the first year (De Rooy et al., 2019). This brings forth an important conversation regarding </w:t>
      </w:r>
      <w:proofErr w:type="gramStart"/>
      <w:r>
        <w:t>the what</w:t>
      </w:r>
      <w:proofErr w:type="gramEnd"/>
      <w:r>
        <w:t xml:space="preserve"> is in place and barriers that are present that are exploiting recidivism, rather than allowing women to continue their lives forward after prison. Most notably, employment and poverty, homelessness, and mental health and substance use challenges. </w:t>
      </w:r>
    </w:p>
    <w:p w14:paraId="0000002D" w14:textId="77777777" w:rsidR="00EB6606" w:rsidRDefault="009A2DF2">
      <w:pPr>
        <w:rPr>
          <w:i/>
          <w:iCs/>
          <w:u w:val="single"/>
        </w:rPr>
      </w:pPr>
      <w:r>
        <w:rPr>
          <w:i/>
          <w:iCs/>
          <w:u w:val="single"/>
        </w:rPr>
        <w:t>Employment and Poverty</w:t>
      </w:r>
    </w:p>
    <w:p w14:paraId="0000002E" w14:textId="77777777" w:rsidR="00EB6606" w:rsidRDefault="009A2DF2">
      <w:pPr>
        <w:ind w:firstLine="720"/>
      </w:pPr>
      <w:r>
        <w:lastRenderedPageBreak/>
        <w:t>The Bureau of Justice Statistics estimates that women are more likely to be employed after release compared to men (</w:t>
      </w:r>
      <w:r>
        <w:rPr>
          <w:i/>
          <w:iCs/>
        </w:rPr>
        <w:t>Employment of State and Federal Prisoners Prior to Incarceration, 2016 | Bureau of Justice Statistics</w:t>
      </w:r>
      <w:r>
        <w:t>, n.d.). A couple of determinants that contribute to this disparity, such as education. Incarcerated women obtain limited education, so many do not finish high school (Clark-Moorman et al., 2025). Limited education is also associated with lack of skills, tools, and resources to go find a job such as making a resume and having prior work experience (Clark-Moorman et al., 2025). In addition to that, barriers b</w:t>
      </w:r>
      <w:r>
        <w:t xml:space="preserve">y institutions prevent incarcerated women from employment. Employers have restrictions on who can and </w:t>
      </w:r>
      <w:proofErr w:type="spellStart"/>
      <w:r>
        <w:t>can not</w:t>
      </w:r>
      <w:proofErr w:type="spellEnd"/>
      <w:r>
        <w:t xml:space="preserve"> be hired, thus convicted felons have a harder time to find jobs (Clark-Moorman et al., 2025). Healthcare and </w:t>
      </w:r>
      <w:proofErr w:type="gramStart"/>
      <w:r>
        <w:t>child care</w:t>
      </w:r>
      <w:proofErr w:type="gramEnd"/>
      <w:r>
        <w:t xml:space="preserve"> are fields that are women dominated and that have banned anyone who is convicted felons from working in these fields (Clark-Moorman et al., 2025). Stigma plays a role in employment decisions as well (Clark-Moorman et al., 2025). Furthermore, mental health challenges and substance u</w:t>
      </w:r>
      <w:r>
        <w:t xml:space="preserve">se challenges are additional barriers that women face. Women who have been incarcerated experience higher rates of substance use and mental health challenges that in return affect their ability to hold stable jobs (Clark-Moorman et al., 2025). </w:t>
      </w:r>
    </w:p>
    <w:p w14:paraId="0000002F" w14:textId="6C650173" w:rsidR="00EB6606" w:rsidRDefault="009A2DF2">
      <w:pPr>
        <w:ind w:firstLine="720"/>
      </w:pPr>
      <w:r>
        <w:t xml:space="preserve">Moreover, parole and probation create a cycle in which a person continuously faces </w:t>
      </w:r>
      <w:r w:rsidR="00D4266A">
        <w:t>many</w:t>
      </w:r>
      <w:r>
        <w:t xml:space="preserve"> insecurity. 73% of women are on probation, which is an “alternative” to incarceration (Clark-Moorman et al., 2025). Parole is usually met with unreasonable expectations such as paying probation fees, meeting with parole officers (Clark-Moorman et al., 2025). Violation of these expectations is a non-criminal </w:t>
      </w:r>
      <w:proofErr w:type="gramStart"/>
      <w:r>
        <w:t>violation</w:t>
      </w:r>
      <w:proofErr w:type="gramEnd"/>
      <w:r>
        <w:t xml:space="preserve"> and women can face a possible “sentence” for this (Initiative &amp; Sawyer, n.d.).</w:t>
      </w:r>
    </w:p>
    <w:p w14:paraId="00000030" w14:textId="77777777" w:rsidR="00EB6606" w:rsidRDefault="009A2DF2">
      <w:pPr>
        <w:rPr>
          <w:i/>
          <w:iCs/>
          <w:u w:val="single"/>
        </w:rPr>
      </w:pPr>
      <w:r>
        <w:rPr>
          <w:i/>
          <w:iCs/>
          <w:u w:val="single"/>
        </w:rPr>
        <w:t>Housing</w:t>
      </w:r>
    </w:p>
    <w:p w14:paraId="00000031" w14:textId="77777777" w:rsidR="00EB6606" w:rsidRDefault="009A2DF2">
      <w:r>
        <w:lastRenderedPageBreak/>
        <w:tab/>
        <w:t>Women who are in reentry are 13 times more likely to experience homeless than the general population (Clark-Moorman et al., 2025). This is largely due to many women experiencing housing insecurity before being incarcerated, thus there are challenges present once they are out (Clark-Moorman et al., 2025). In addition to that, society has also presented many regulations that prevent women from getting approved for housing due to a “criminal background” (Aging, 2024). These challenges are often seen with wome</w:t>
      </w:r>
      <w:r>
        <w:t xml:space="preserve">n of color more than white women (Aging, 2024). Housing insecurity presents a couple of challenges for these women. For one, homelessness makes these women more vulnerable to instability, social stigma, and increased access to substance use (Clark-Moorman et al., 2025). Furthermore, homelessness exposes women to unconventional work, such as prostitution and drug dealing for temporary housing relief (Clark-Moorman et al., 2025).  Subsequently, this leads many to rely on friends, family, or romantic partners </w:t>
      </w:r>
      <w:r>
        <w:t xml:space="preserve">to assist with their living situation, which often are not the safest situations for women (Initiative, 2019). </w:t>
      </w:r>
    </w:p>
    <w:p w14:paraId="00000032" w14:textId="77777777" w:rsidR="00EB6606" w:rsidRDefault="009A2DF2">
      <w:pPr>
        <w:rPr>
          <w:i/>
          <w:iCs/>
          <w:u w:val="single"/>
        </w:rPr>
      </w:pPr>
      <w:r>
        <w:rPr>
          <w:i/>
          <w:iCs/>
          <w:u w:val="single"/>
        </w:rPr>
        <w:t>Mental Health and Substance Use</w:t>
      </w:r>
    </w:p>
    <w:p w14:paraId="00000033" w14:textId="77777777" w:rsidR="00EB6606" w:rsidRDefault="009A2DF2">
      <w:r>
        <w:tab/>
        <w:t xml:space="preserve">Women who are or have been incarcerated experience higher rates of mental health challenges (Clark-Moorman et al., 2025). It is estimated that these women are five times more likely to experience these challenges, and upon release, suicide rates shoot up higher than the general population, and they are about 36 times more likely (Bright et al., 2022). These challenges </w:t>
      </w:r>
      <w:proofErr w:type="gramStart"/>
      <w:r>
        <w:t>are  linked</w:t>
      </w:r>
      <w:proofErr w:type="gramEnd"/>
      <w:r>
        <w:t xml:space="preserve"> to adverse childhood experiences, which then create physiological changes. Prison is later added to the mix, and creates further traumatic events, specifically through loss of dignity through living conditions, solitary confinement, and mother and child separation (Initiative, 2021). Many women wind up self-medicating through substances, and do not receive treatment for their disorder; about 71% of women do not (Staton et al., 2023). Many </w:t>
      </w:r>
      <w:r>
        <w:lastRenderedPageBreak/>
        <w:t>women with children also experience violent interpersonal</w:t>
      </w:r>
      <w:r>
        <w:t xml:space="preserve"> relationships, and substance abuse is associated with these situations (Clark-Moorman et al., 2025).</w:t>
      </w:r>
    </w:p>
    <w:p w14:paraId="00000034" w14:textId="77777777" w:rsidR="00EB6606" w:rsidRDefault="00EB6606"/>
    <w:p w14:paraId="00000035" w14:textId="77777777" w:rsidR="00EB6606" w:rsidRDefault="009A2DF2">
      <w:pPr>
        <w:pStyle w:val="Heading1"/>
        <w:pBdr>
          <w:top w:val="nil"/>
          <w:left w:val="nil"/>
          <w:bottom w:val="nil"/>
          <w:right w:val="nil"/>
          <w:between w:val="nil"/>
        </w:pBdr>
      </w:pPr>
      <w:bookmarkStart w:id="26" w:name="_2jxsxqh" w:colFirst="0" w:colLast="0"/>
      <w:bookmarkEnd w:id="26"/>
      <w:r>
        <w:t>Discussion</w:t>
      </w:r>
    </w:p>
    <w:p w14:paraId="00000036" w14:textId="77777777" w:rsidR="00EB6606" w:rsidRDefault="009A2DF2">
      <w:pPr>
        <w:rPr>
          <w:b/>
          <w:bCs/>
        </w:rPr>
      </w:pPr>
      <w:r>
        <w:rPr>
          <w:b/>
          <w:bCs/>
        </w:rPr>
        <w:t>Improvements/Implementation</w:t>
      </w:r>
    </w:p>
    <w:p w14:paraId="00000037" w14:textId="77777777" w:rsidR="00EB6606" w:rsidRDefault="009A2DF2">
      <w:pPr>
        <w:ind w:firstLine="720"/>
        <w:rPr>
          <w:color w:val="212121"/>
        </w:rPr>
      </w:pPr>
      <w:r>
        <w:t xml:space="preserve">There are many fronts to improve on when it comes to women’s health in prisons. Some of the major problems women are facing are mental disorders, substance abuse, sexual and physical abuse, and menstrual needs. The article </w:t>
      </w:r>
      <w:r>
        <w:rPr>
          <w:i/>
          <w:iCs/>
          <w:color w:val="212121"/>
        </w:rPr>
        <w:t xml:space="preserve">Improving Health Equity for Women Involved in the Criminal Legal System </w:t>
      </w:r>
      <w:r>
        <w:rPr>
          <w:color w:val="212121"/>
        </w:rPr>
        <w:t xml:space="preserve">by Cynthia Golembeski et al at the National Library of Medicine discusses multiple studies about this information. One example is that two-thirds of imprisoned women have PTSD. 73% of women in state prisons and 75% in local prisons have mental disorders versus only 12% of the regular population. Next, two-thirds of women also have substance related issues. Many women return to their communities without receiving treatment. She found that approximately 70% of women in California need treatment with only 14% </w:t>
      </w:r>
      <w:r>
        <w:rPr>
          <w:color w:val="212121"/>
        </w:rPr>
        <w:t xml:space="preserve">of them receiving it. </w:t>
      </w:r>
    </w:p>
    <w:p w14:paraId="00000038" w14:textId="77777777" w:rsidR="00EB6606" w:rsidRDefault="009A2DF2">
      <w:pPr>
        <w:ind w:firstLine="720"/>
      </w:pPr>
      <w:r>
        <w:t xml:space="preserve">Women’s health needs are heavily neglected in the male-dominated prison system. </w:t>
      </w:r>
      <w:proofErr w:type="gramStart"/>
      <w:r>
        <w:t>In order to</w:t>
      </w:r>
      <w:proofErr w:type="gramEnd"/>
      <w:r>
        <w:t xml:space="preserve"> make improvements, there needs to be a more general approach to the system that creates a more acceptable and gender-sensitive criminal justice system. This should include special attention to the rights of any women and children involved. A very important guideline, that should be followed a lot more often, is making imprisonment a last resort, especially for pregnant women and mothers. Imprisonment can be extremely negative, harming mental health, emotional well-being, and life skills. Prisons</w:t>
      </w:r>
      <w:r>
        <w:t xml:space="preserve"> should be creating individual health plans through assessments of background, trauma, current health, and skills. An article by Maureen Buell, </w:t>
      </w:r>
      <w:r>
        <w:rPr>
          <w:i/>
          <w:iCs/>
        </w:rPr>
        <w:t xml:space="preserve">Jail </w:t>
      </w:r>
      <w:r>
        <w:rPr>
          <w:i/>
          <w:iCs/>
        </w:rPr>
        <w:lastRenderedPageBreak/>
        <w:t xml:space="preserve">Tip #6: Assess Women’s Healthcare Needs, </w:t>
      </w:r>
      <w:r>
        <w:t xml:space="preserve">goes into </w:t>
      </w:r>
      <w:proofErr w:type="gramStart"/>
      <w:r>
        <w:t>great detail</w:t>
      </w:r>
      <w:proofErr w:type="gramEnd"/>
      <w:r>
        <w:t xml:space="preserve"> on how to assess women’s needs and provides examples of how to do so. A first idea is to use intake and booking as an opportunity to identify the healthcare needs of women. This may include conducting mental health screenings, such as the Brief Jail Mental Health Screen, HIV test, especially on pre</w:t>
      </w:r>
      <w:r>
        <w:t xml:space="preserve">gnant women, and providing pregnancy tests within the first 48 hours of admission. Next, she discusses the institution of gender-appropriate clinical and operational practices. These include clinical practice guidelines for withdrawal from intoxication, regular pelvic exams and pap smears, special attention to pregnant women, such as additional food, bottom bunks only, and no physical restraints, and consideration of mother-infant attachment. </w:t>
      </w:r>
    </w:p>
    <w:p w14:paraId="00000039" w14:textId="77777777" w:rsidR="00EB6606" w:rsidRDefault="009A2DF2">
      <w:pPr>
        <w:ind w:firstLine="720"/>
      </w:pPr>
      <w:r>
        <w:t>Finally, Buell discusses providing family planning counseling to mothers and expectant mothers. These programs will provide pregnant women with prenatal counseling and family planning, access to emergency contraception, and build partnerships with public health organizations. There is so much to do before the women’s health system is close to satisfactory, and these steps need to be made soon.</w:t>
      </w:r>
    </w:p>
    <w:p w14:paraId="0000003A" w14:textId="77777777" w:rsidR="00EB6606" w:rsidRDefault="009A2DF2">
      <w:pPr>
        <w:ind w:firstLine="720"/>
      </w:pPr>
      <w:r>
        <w:t xml:space="preserve">Although, that does not mean that there are not amazing organizations that are making a positive impact on their communities. For example, </w:t>
      </w:r>
      <w:proofErr w:type="spellStart"/>
      <w:r>
        <w:t>SisterHearts</w:t>
      </w:r>
      <w:proofErr w:type="spellEnd"/>
      <w:r>
        <w:t xml:space="preserve"> that was founded by Maryam Henderson Uloho. It is the “first and only decarceration and jail reentry program in Arabi, Louisiana” (</w:t>
      </w:r>
      <w:r>
        <w:rPr>
          <w:i/>
          <w:iCs/>
        </w:rPr>
        <w:t xml:space="preserve">About — </w:t>
      </w:r>
      <w:proofErr w:type="spellStart"/>
      <w:r>
        <w:rPr>
          <w:i/>
          <w:iCs/>
        </w:rPr>
        <w:t>SisterHearts</w:t>
      </w:r>
      <w:proofErr w:type="spellEnd"/>
      <w:r>
        <w:t xml:space="preserve">, n.d.). A thrift store that also serves as a home for recently released individuals who need assistance going back to their communities. Georgia Center for Opportunity, where they offer assistance for individuals that are reentering and the Department of Community Supervision is a website that can be used to find programs in Georgia. </w:t>
      </w:r>
    </w:p>
    <w:p w14:paraId="0000003B" w14:textId="77777777" w:rsidR="00EB6606" w:rsidRDefault="00EB6606"/>
    <w:p w14:paraId="0000003C" w14:textId="77777777" w:rsidR="00EB6606" w:rsidRDefault="00EB6606">
      <w:pPr>
        <w:rPr>
          <w:b/>
          <w:bCs/>
        </w:rPr>
      </w:pPr>
    </w:p>
    <w:p w14:paraId="0000003D" w14:textId="77777777" w:rsidR="00EB6606" w:rsidRDefault="009A2DF2">
      <w:pPr>
        <w:rPr>
          <w:b/>
          <w:bCs/>
        </w:rPr>
      </w:pPr>
      <w:r>
        <w:rPr>
          <w:b/>
          <w:bCs/>
        </w:rPr>
        <w:lastRenderedPageBreak/>
        <w:t>Conclusion</w:t>
      </w:r>
    </w:p>
    <w:p w14:paraId="0000003E" w14:textId="77777777" w:rsidR="00EB6606" w:rsidRDefault="009A2DF2">
      <w:r>
        <w:tab/>
        <w:t xml:space="preserve">In conclusion, the increasing number of women being incarcerated each year needs to have better support </w:t>
      </w:r>
      <w:proofErr w:type="gramStart"/>
      <w:r>
        <w:t>in order to</w:t>
      </w:r>
      <w:proofErr w:type="gramEnd"/>
      <w:r>
        <w:t xml:space="preserve"> provide a better justice system for these women. Women in prisons lack fundamental human needs like basic health care, maternal health care, and separation and isolation from their families. There needs to be more reformation in these facilities and help women with their physical and mental health and social support. Pregnant women need more reinforcements so they can get their nutritional needs and not be separated from their infants right after labor. More people need to care for these women a</w:t>
      </w:r>
      <w:r>
        <w:t xml:space="preserve">nd give them their support because incarcerated women’s voices are not heard enough. </w:t>
      </w:r>
    </w:p>
    <w:p w14:paraId="0000003F" w14:textId="77777777" w:rsidR="00EB6606" w:rsidRDefault="00EB6606">
      <w:pPr>
        <w:ind w:firstLine="720"/>
      </w:pPr>
    </w:p>
    <w:p w14:paraId="00000040" w14:textId="77777777" w:rsidR="00EB6606" w:rsidRDefault="00EB6606">
      <w:pPr>
        <w:ind w:firstLine="720"/>
      </w:pPr>
    </w:p>
    <w:p w14:paraId="00000041" w14:textId="77777777" w:rsidR="00EB6606" w:rsidRDefault="00EB6606">
      <w:pPr>
        <w:ind w:firstLine="720"/>
      </w:pPr>
    </w:p>
    <w:p w14:paraId="00000042" w14:textId="77777777" w:rsidR="00EB6606" w:rsidRDefault="00EB6606">
      <w:pPr>
        <w:ind w:firstLine="720"/>
      </w:pPr>
    </w:p>
    <w:p w14:paraId="00000043" w14:textId="77777777" w:rsidR="00EB6606" w:rsidRDefault="00EB6606">
      <w:pPr>
        <w:ind w:firstLine="720"/>
      </w:pPr>
    </w:p>
    <w:p w14:paraId="00000044" w14:textId="77777777" w:rsidR="00EB6606" w:rsidRDefault="00EB6606"/>
    <w:p w14:paraId="00000045" w14:textId="77777777" w:rsidR="00EB6606" w:rsidRDefault="00EB6606"/>
    <w:p w14:paraId="00000046" w14:textId="77777777" w:rsidR="00EB6606" w:rsidRDefault="00EB6606">
      <w:pPr>
        <w:ind w:firstLine="720"/>
      </w:pPr>
    </w:p>
    <w:p w14:paraId="00000047" w14:textId="77777777" w:rsidR="00EB6606" w:rsidRDefault="00EB6606">
      <w:pPr>
        <w:ind w:firstLine="720"/>
      </w:pPr>
    </w:p>
    <w:p w14:paraId="00000048" w14:textId="77777777" w:rsidR="00EB6606" w:rsidRDefault="00EB6606">
      <w:pPr>
        <w:pStyle w:val="Heading1"/>
        <w:pBdr>
          <w:top w:val="nil"/>
          <w:left w:val="nil"/>
          <w:bottom w:val="nil"/>
          <w:right w:val="nil"/>
          <w:between w:val="nil"/>
        </w:pBdr>
        <w:jc w:val="left"/>
      </w:pPr>
      <w:bookmarkStart w:id="27" w:name="_npa11efyl29k" w:colFirst="0" w:colLast="0"/>
      <w:bookmarkEnd w:id="27"/>
    </w:p>
    <w:p w14:paraId="00000049" w14:textId="77777777" w:rsidR="00EB6606" w:rsidRDefault="00EB6606"/>
    <w:p w14:paraId="0000004A" w14:textId="77777777" w:rsidR="00EB6606" w:rsidRDefault="00EB6606">
      <w:pPr>
        <w:pStyle w:val="Heading1"/>
        <w:pBdr>
          <w:top w:val="nil"/>
          <w:left w:val="nil"/>
          <w:bottom w:val="nil"/>
          <w:right w:val="nil"/>
          <w:between w:val="nil"/>
        </w:pBdr>
      </w:pPr>
      <w:bookmarkStart w:id="28" w:name="_rcbnibebahjk" w:colFirst="0" w:colLast="0"/>
      <w:bookmarkEnd w:id="28"/>
    </w:p>
    <w:p w14:paraId="0000004B" w14:textId="77777777" w:rsidR="00EB6606" w:rsidRDefault="00EB6606">
      <w:pPr>
        <w:pStyle w:val="Heading1"/>
        <w:pBdr>
          <w:top w:val="nil"/>
          <w:left w:val="nil"/>
          <w:bottom w:val="nil"/>
          <w:right w:val="nil"/>
          <w:between w:val="nil"/>
        </w:pBdr>
        <w:jc w:val="left"/>
      </w:pPr>
      <w:bookmarkStart w:id="29" w:name="_gop2obrd6q4e" w:colFirst="0" w:colLast="0"/>
      <w:bookmarkEnd w:id="29"/>
    </w:p>
    <w:p w14:paraId="0000004C" w14:textId="77777777" w:rsidR="00EB6606" w:rsidRDefault="00EB6606"/>
    <w:p w14:paraId="0000004D" w14:textId="77777777" w:rsidR="00EB6606" w:rsidRDefault="009A2DF2">
      <w:pPr>
        <w:pStyle w:val="Heading1"/>
        <w:pBdr>
          <w:top w:val="nil"/>
          <w:left w:val="nil"/>
          <w:bottom w:val="nil"/>
          <w:right w:val="nil"/>
          <w:between w:val="nil"/>
        </w:pBdr>
      </w:pPr>
      <w:bookmarkStart w:id="30" w:name="_z337ya" w:colFirst="0" w:colLast="0"/>
      <w:bookmarkEnd w:id="30"/>
      <w:r>
        <w:lastRenderedPageBreak/>
        <w:t>References</w:t>
      </w:r>
    </w:p>
    <w:p w14:paraId="0000004E" w14:textId="77777777" w:rsidR="00EB6606" w:rsidRDefault="009A2DF2">
      <w:pPr>
        <w:ind w:left="720"/>
      </w:pPr>
      <w:r>
        <w:rPr>
          <w:i/>
          <w:iCs/>
        </w:rPr>
        <w:t xml:space="preserve">About — </w:t>
      </w:r>
      <w:proofErr w:type="spellStart"/>
      <w:r>
        <w:rPr>
          <w:i/>
          <w:iCs/>
        </w:rPr>
        <w:t>SisterHearts</w:t>
      </w:r>
      <w:proofErr w:type="spellEnd"/>
      <w:r>
        <w:t xml:space="preserve">. (n.d.). </w:t>
      </w:r>
      <w:proofErr w:type="spellStart"/>
      <w:proofErr w:type="gramStart"/>
      <w:r>
        <w:t>SisterHearts</w:t>
      </w:r>
      <w:proofErr w:type="spellEnd"/>
      <w:proofErr w:type="gramEnd"/>
      <w:r>
        <w:t>. https://www.sisterhearts.org/about</w:t>
      </w:r>
    </w:p>
    <w:p w14:paraId="0000004F" w14:textId="77777777" w:rsidR="00EB6606" w:rsidRDefault="009A2DF2">
      <w:pPr>
        <w:ind w:left="720"/>
      </w:pPr>
      <w:r>
        <w:t xml:space="preserve">Aging, J. I. (2024, October 25). </w:t>
      </w:r>
      <w:r>
        <w:rPr>
          <w:i/>
          <w:iCs/>
        </w:rPr>
        <w:t>Fair housing protections for formerly incarcerated and Justice-Involved Older adults - Justice in Aging</w:t>
      </w:r>
      <w:r>
        <w:t xml:space="preserve">. Justice in Aging. </w:t>
      </w:r>
      <w:hyperlink r:id="rId9">
        <w:r>
          <w:rPr>
            <w:color w:val="1155CC"/>
            <w:u w:val="single"/>
          </w:rPr>
          <w:t>https://justiceinaging.org/fair-housing-protections-for-formerly-incarcerated-and-justice-involved-older-adults/</w:t>
        </w:r>
      </w:hyperlink>
    </w:p>
    <w:p w14:paraId="00000050" w14:textId="77777777" w:rsidR="00EB6606" w:rsidRDefault="009A2DF2">
      <w:pPr>
        <w:ind w:left="720"/>
      </w:pPr>
      <w:r>
        <w:t xml:space="preserve">Bright, A., Higgins, A., &amp; Grealish, A. (2022). Women’s experiences of prison-based mental healthcare: a systematic review of qualitative literature. </w:t>
      </w:r>
      <w:r>
        <w:rPr>
          <w:i/>
          <w:iCs/>
        </w:rPr>
        <w:t>International Journal of Prisoner Health</w:t>
      </w:r>
      <w:r>
        <w:t xml:space="preserve">, </w:t>
      </w:r>
      <w:r>
        <w:rPr>
          <w:i/>
          <w:iCs/>
        </w:rPr>
        <w:t>19</w:t>
      </w:r>
      <w:r>
        <w:t>(2), 181–198. https://doi.org/10.1108/ijph-09-2021-0091</w:t>
      </w:r>
    </w:p>
    <w:p w14:paraId="00000051" w14:textId="77777777" w:rsidR="00EB6606" w:rsidRDefault="009A2DF2">
      <w:pPr>
        <w:spacing w:before="240" w:after="240" w:line="360" w:lineRule="auto"/>
        <w:ind w:left="1281" w:hanging="720"/>
      </w:pPr>
      <w:r>
        <w:t xml:space="preserve">Buell, M. (n.d.). Jail tip #6: Assess Women’s healthcare needs. https://cjinvolvedwomen.org/wp-content/uploads/2016/03/Jail-Tip-Sheet-6.pdf </w:t>
      </w:r>
    </w:p>
    <w:p w14:paraId="00000052" w14:textId="77777777" w:rsidR="00EB6606" w:rsidRDefault="009A2DF2">
      <w:pPr>
        <w:ind w:left="720"/>
        <w:rPr>
          <w:highlight w:val="white"/>
        </w:rPr>
      </w:pPr>
      <w:r>
        <w:t xml:space="preserve">Clark-Moorman, K., National Institute of Justice, &amp; U.S. Department of Justice. (2025). </w:t>
      </w:r>
      <w:r>
        <w:rPr>
          <w:i/>
          <w:iCs/>
        </w:rPr>
        <w:t>FORMERLY INCARCERATED WOMEN AND REENTRY: UPDATED TRENDS, CHALLENGES, AND RECOMMENDATIONS FOR RESEARCH AND POLICY</w:t>
      </w:r>
      <w:r>
        <w:t xml:space="preserve"> [Report]. National Institute of Justice. https://www.ojp.gov/pdffiles1/nij/310062.pdf</w:t>
      </w:r>
    </w:p>
    <w:p w14:paraId="00000053" w14:textId="77777777" w:rsidR="00EB6606" w:rsidRDefault="009A2DF2">
      <w:pPr>
        <w:ind w:left="720"/>
        <w:rPr>
          <w:highlight w:val="white"/>
        </w:rPr>
      </w:pPr>
      <w:r>
        <w:rPr>
          <w:highlight w:val="white"/>
        </w:rPr>
        <w:t xml:space="preserve">De Rooy, K., Bennett, S., &amp; Sydes, M. (2019). Women Released </w:t>
      </w:r>
      <w:proofErr w:type="gramStart"/>
      <w:r>
        <w:rPr>
          <w:highlight w:val="white"/>
        </w:rPr>
        <w:t>From</w:t>
      </w:r>
      <w:proofErr w:type="gramEnd"/>
      <w:r>
        <w:rPr>
          <w:highlight w:val="white"/>
        </w:rPr>
        <w:t xml:space="preserve"> Custody: Investigating Risk Factors and Reoffending. Int J Offender Ther Comp </w:t>
      </w:r>
      <w:proofErr w:type="spellStart"/>
      <w:r>
        <w:rPr>
          <w:highlight w:val="white"/>
        </w:rPr>
        <w:t>Criminol</w:t>
      </w:r>
      <w:proofErr w:type="spellEnd"/>
      <w:r>
        <w:rPr>
          <w:highlight w:val="white"/>
        </w:rPr>
        <w:t xml:space="preserve">, 63(13), 2239-2263. https://doi.org/10.1177/0306624x19845778 </w:t>
      </w:r>
    </w:p>
    <w:p w14:paraId="00000054" w14:textId="77777777" w:rsidR="00EB6606" w:rsidRDefault="009A2DF2">
      <w:pPr>
        <w:ind w:left="720"/>
        <w:rPr>
          <w:highlight w:val="white"/>
        </w:rPr>
      </w:pPr>
      <w:r>
        <w:rPr>
          <w:i/>
          <w:iCs/>
          <w:highlight w:val="white"/>
        </w:rPr>
        <w:t>Employment of state and federal prisoners prior to incarceration, 2016 | Bureau of Justice Statistics</w:t>
      </w:r>
      <w:r>
        <w:rPr>
          <w:highlight w:val="white"/>
        </w:rPr>
        <w:t xml:space="preserve">. (n.d.). Bureau of Justice Statistics. </w:t>
      </w:r>
      <w:hyperlink r:id="rId10">
        <w:r>
          <w:rPr>
            <w:color w:val="1155CC"/>
            <w:highlight w:val="white"/>
            <w:u w:val="single"/>
          </w:rPr>
          <w:t>https://bjs.ojp.gov/employment-state-and-federal-prisoners-prior-incarceration-2016</w:t>
        </w:r>
      </w:hyperlink>
    </w:p>
    <w:p w14:paraId="00000055" w14:textId="77777777" w:rsidR="00EB6606" w:rsidRDefault="009A2DF2">
      <w:r>
        <w:t xml:space="preserve">Friedman, </w:t>
      </w:r>
      <w:proofErr w:type="gramStart"/>
      <w:r>
        <w:t>S. ,</w:t>
      </w:r>
      <w:proofErr w:type="gramEnd"/>
      <w:r>
        <w:t xml:space="preserve"> Kaempf, A. &amp; Kauffman, S. (2020, May). The Realities of Pregnancy and</w:t>
      </w:r>
    </w:p>
    <w:p w14:paraId="00000056" w14:textId="77777777" w:rsidR="00EB6606" w:rsidRDefault="009A2DF2">
      <w:pPr>
        <w:ind w:left="720"/>
        <w:rPr>
          <w:highlight w:val="white"/>
        </w:rPr>
      </w:pPr>
      <w:r>
        <w:lastRenderedPageBreak/>
        <w:t xml:space="preserve">Mothering While </w:t>
      </w:r>
      <w:proofErr w:type="gramStart"/>
      <w:r>
        <w:t>Incarcerated</w:t>
      </w:r>
      <w:proofErr w:type="gramEnd"/>
      <w:r>
        <w:t>. Journal of the American Academy of Psychiatry and the Law. https://jaapl.org/content/early/2020/05/13/JAAPL.003924-20</w:t>
      </w:r>
    </w:p>
    <w:p w14:paraId="00000057" w14:textId="77777777" w:rsidR="00EB6606" w:rsidRDefault="009A2DF2">
      <w:pPr>
        <w:spacing w:before="240" w:after="240" w:line="360" w:lineRule="auto"/>
        <w:ind w:left="720" w:hanging="720"/>
      </w:pPr>
      <w:r>
        <w:t xml:space="preserve">Golembeski, C. A., Sufrin, C. B., Williams, B., Bedell, P. S., Glied, S. A., Binswanger, I. A., Hylton, D., Winkelman, T. N. A., &amp; Meyer, J. P. (2020). </w:t>
      </w:r>
      <w:r>
        <w:rPr>
          <w:i/>
          <w:iCs/>
        </w:rPr>
        <w:t>Improving health equity for women involved in the criminal legal system</w:t>
      </w:r>
      <w:r>
        <w:t xml:space="preserve">. Women’s health </w:t>
      </w:r>
      <w:proofErr w:type="gramStart"/>
      <w:r>
        <w:t>issues :</w:t>
      </w:r>
      <w:proofErr w:type="gramEnd"/>
      <w:r>
        <w:t xml:space="preserve"> official publication of the Jacobs Institute of Women’s Health. </w:t>
      </w:r>
      <w:hyperlink r:id="rId11">
        <w:r>
          <w:rPr>
            <w:color w:val="1155CC"/>
            <w:u w:val="single"/>
          </w:rPr>
          <w:t>https://pmc.ncbi.nlm.nih.gov/articles/PMC8092370/</w:t>
        </w:r>
      </w:hyperlink>
    </w:p>
    <w:p w14:paraId="00000058" w14:textId="77777777" w:rsidR="00EB6606" w:rsidRDefault="009A2DF2">
      <w:pPr>
        <w:ind w:left="720"/>
      </w:pPr>
      <w:r>
        <w:t xml:space="preserve">Georgia Department of Corrections. (2024, September 26). </w:t>
      </w:r>
      <w:r>
        <w:rPr>
          <w:i/>
          <w:iCs/>
        </w:rPr>
        <w:t>Profiles of Inmate Admissions with Drug Crimes</w:t>
      </w:r>
      <w:r>
        <w:t xml:space="preserve">. </w:t>
      </w:r>
      <w:hyperlink r:id="rId12">
        <w:r>
          <w:rPr>
            <w:color w:val="1155CC"/>
            <w:u w:val="single"/>
          </w:rPr>
          <w:t>https://gdc.georgia.gov/organization/about-gdc/agency-activity/research-and-reports/annual-statistical-reports/calendar-4</w:t>
        </w:r>
      </w:hyperlink>
    </w:p>
    <w:p w14:paraId="00000059" w14:textId="77777777" w:rsidR="00EB6606" w:rsidRDefault="009A2DF2">
      <w:pPr>
        <w:ind w:left="720"/>
      </w:pPr>
      <w:r>
        <w:t xml:space="preserve">Georgia Department of Corrections. (2023, April 18). </w:t>
      </w:r>
      <w:r>
        <w:rPr>
          <w:i/>
          <w:iCs/>
        </w:rPr>
        <w:t>Profiles of inmate admissions for any drug crimes</w:t>
      </w:r>
      <w:r>
        <w:t>. https://gdc.georgia.gov/profiles-inmate-admissions-any-drug-crimes</w:t>
      </w:r>
    </w:p>
    <w:p w14:paraId="0000005A" w14:textId="77777777" w:rsidR="00EB6606" w:rsidRDefault="009A2DF2">
      <w:pPr>
        <w:ind w:left="720"/>
        <w:rPr>
          <w:highlight w:val="white"/>
        </w:rPr>
      </w:pPr>
      <w:r>
        <w:rPr>
          <w:highlight w:val="white"/>
        </w:rPr>
        <w:t xml:space="preserve">Initiative, P. P. (2021, May 13). </w:t>
      </w:r>
      <w:r>
        <w:rPr>
          <w:i/>
          <w:iCs/>
          <w:highlight w:val="white"/>
        </w:rPr>
        <w:t>Research Roundup: Incarceration can cause lasting damage to mental health</w:t>
      </w:r>
      <w:r>
        <w:rPr>
          <w:highlight w:val="white"/>
        </w:rPr>
        <w:t xml:space="preserve">. Prison Policy Initiative. </w:t>
      </w:r>
      <w:hyperlink r:id="rId13">
        <w:r>
          <w:rPr>
            <w:color w:val="1155CC"/>
            <w:highlight w:val="white"/>
            <w:u w:val="single"/>
          </w:rPr>
          <w:t>https://www.prisonpolicy.org/blog/2021/05/13/mentalhealthimpacts/</w:t>
        </w:r>
      </w:hyperlink>
    </w:p>
    <w:p w14:paraId="0000005B" w14:textId="77777777" w:rsidR="00EB6606" w:rsidRDefault="009A2DF2">
      <w:pPr>
        <w:ind w:left="720"/>
        <w:rPr>
          <w:highlight w:val="white"/>
        </w:rPr>
      </w:pPr>
      <w:r>
        <w:rPr>
          <w:highlight w:val="white"/>
        </w:rPr>
        <w:t xml:space="preserve">Initiative, P. P., &amp; Wagner, W. S. a. P. (n.d.). </w:t>
      </w:r>
      <w:r>
        <w:rPr>
          <w:i/>
          <w:iCs/>
          <w:highlight w:val="white"/>
        </w:rPr>
        <w:t>Mass Incarceration: The Whole Pie 2025</w:t>
      </w:r>
      <w:r>
        <w:rPr>
          <w:highlight w:val="white"/>
        </w:rPr>
        <w:t xml:space="preserve">. Prison Policy Initiative. </w:t>
      </w:r>
      <w:hyperlink r:id="rId14">
        <w:r>
          <w:rPr>
            <w:color w:val="1155CC"/>
            <w:highlight w:val="white"/>
            <w:u w:val="single"/>
          </w:rPr>
          <w:t>https://www.prisonpolicy.org/reports/pie2025.html</w:t>
        </w:r>
      </w:hyperlink>
      <w:r>
        <w:rPr>
          <w:highlight w:val="white"/>
        </w:rPr>
        <w:t xml:space="preserve"> </w:t>
      </w:r>
    </w:p>
    <w:p w14:paraId="0000005C" w14:textId="77777777" w:rsidR="00EB6606" w:rsidRDefault="009A2DF2">
      <w:pPr>
        <w:ind w:left="720"/>
        <w:rPr>
          <w:highlight w:val="white"/>
        </w:rPr>
      </w:pPr>
      <w:r>
        <w:rPr>
          <w:highlight w:val="white"/>
        </w:rPr>
        <w:t xml:space="preserve">Initiative, P. P. (2019, July 19). </w:t>
      </w:r>
      <w:r>
        <w:rPr>
          <w:i/>
          <w:iCs/>
          <w:highlight w:val="white"/>
        </w:rPr>
        <w:t>Who’s helping the 1.9 million women released from prisons and jails each year?</w:t>
      </w:r>
      <w:r>
        <w:rPr>
          <w:highlight w:val="white"/>
        </w:rPr>
        <w:t xml:space="preserve"> Prison Policy Initiative. </w:t>
      </w:r>
      <w:hyperlink r:id="rId15">
        <w:r>
          <w:rPr>
            <w:color w:val="1155CC"/>
            <w:highlight w:val="white"/>
            <w:u w:val="single"/>
          </w:rPr>
          <w:t>https://www.prisonpolicy.org/blog/2019/07/19/reentry/</w:t>
        </w:r>
      </w:hyperlink>
      <w:r>
        <w:rPr>
          <w:highlight w:val="white"/>
        </w:rPr>
        <w:t xml:space="preserve"> </w:t>
      </w:r>
    </w:p>
    <w:p w14:paraId="0000005D" w14:textId="77777777" w:rsidR="00EB6606" w:rsidRDefault="009A2DF2">
      <w:pPr>
        <w:ind w:left="720"/>
        <w:rPr>
          <w:highlight w:val="white"/>
        </w:rPr>
      </w:pPr>
      <w:r>
        <w:rPr>
          <w:highlight w:val="white"/>
        </w:rPr>
        <w:t xml:space="preserve">Initiative, P. P., &amp; Sawyer, A. K. a. W. (n.d.). </w:t>
      </w:r>
      <w:r>
        <w:rPr>
          <w:i/>
          <w:iCs/>
          <w:highlight w:val="white"/>
        </w:rPr>
        <w:t>Women’s Mass Incarceration: The whole Pie 2024</w:t>
      </w:r>
      <w:r>
        <w:rPr>
          <w:highlight w:val="white"/>
        </w:rPr>
        <w:t xml:space="preserve">. Prison Policy Initiative. </w:t>
      </w:r>
      <w:hyperlink r:id="rId16">
        <w:r>
          <w:rPr>
            <w:color w:val="1155CC"/>
            <w:highlight w:val="white"/>
            <w:u w:val="single"/>
          </w:rPr>
          <w:t>https://www.prisonpolicy.org/reports/pie2024women.html</w:t>
        </w:r>
      </w:hyperlink>
    </w:p>
    <w:p w14:paraId="0000005E" w14:textId="77777777" w:rsidR="00EB6606" w:rsidRDefault="009A2DF2">
      <w:pPr>
        <w:ind w:left="720"/>
      </w:pPr>
      <w:r>
        <w:lastRenderedPageBreak/>
        <w:t xml:space="preserve">Staton, M., Tillson, M., Levi, M., Dickson, M., Webster, M., &amp; </w:t>
      </w:r>
      <w:proofErr w:type="spellStart"/>
      <w:r>
        <w:t>Leukefeld</w:t>
      </w:r>
      <w:proofErr w:type="spellEnd"/>
      <w:r>
        <w:t xml:space="preserve">, C. (2023). Identifying and Treating Incarcerated Women Experiencing Substance Use Disorders: A review. </w:t>
      </w:r>
      <w:r>
        <w:rPr>
          <w:i/>
          <w:iCs/>
        </w:rPr>
        <w:t>Substance Abuse and Rehabilitation</w:t>
      </w:r>
      <w:r>
        <w:t xml:space="preserve">, </w:t>
      </w:r>
      <w:r>
        <w:rPr>
          <w:i/>
          <w:iCs/>
        </w:rPr>
        <w:t>Volume 14</w:t>
      </w:r>
      <w:r>
        <w:t>, 131–145. https://doi.org/10.2147/sar.s409944</w:t>
      </w:r>
    </w:p>
    <w:p w14:paraId="0000005F" w14:textId="77777777" w:rsidR="00EB6606" w:rsidRDefault="00EB6606">
      <w:pPr>
        <w:pBdr>
          <w:top w:val="nil"/>
          <w:left w:val="nil"/>
          <w:bottom w:val="nil"/>
          <w:right w:val="nil"/>
          <w:between w:val="nil"/>
        </w:pBdr>
        <w:ind w:left="720" w:hanging="720"/>
      </w:pPr>
    </w:p>
    <w:sectPr w:rsidR="00EB6606">
      <w:headerReference w:type="default" r:id="rId17"/>
      <w:headerReference w:type="first" r:id="rId1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C5BAC6" w14:textId="77777777" w:rsidR="009A2DF2" w:rsidRDefault="009A2DF2">
      <w:pPr>
        <w:spacing w:line="240" w:lineRule="auto"/>
      </w:pPr>
      <w:r>
        <w:separator/>
      </w:r>
    </w:p>
  </w:endnote>
  <w:endnote w:type="continuationSeparator" w:id="0">
    <w:p w14:paraId="08B92524" w14:textId="77777777" w:rsidR="009A2DF2" w:rsidRDefault="009A2DF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auto"/>
    <w:pitch w:val="default"/>
    <w:embedItalic r:id="rId1" w:fontKey="{9A489C63-906F-4AD7-AD3B-1B4FC4237264}"/>
  </w:font>
  <w:font w:name="Calibri">
    <w:panose1 w:val="020F0502020204030204"/>
    <w:charset w:val="00"/>
    <w:family w:val="swiss"/>
    <w:pitch w:val="variable"/>
    <w:sig w:usb0="E4002EFF" w:usb1="C200247B" w:usb2="00000009" w:usb3="00000000" w:csb0="000001FF" w:csb1="00000000"/>
    <w:embedRegular r:id="rId2" w:fontKey="{A19795D9-18F6-41DA-9CA9-362BF2D421E1}"/>
  </w:font>
  <w:font w:name="Cambria">
    <w:panose1 w:val="02040503050406030204"/>
    <w:charset w:val="00"/>
    <w:family w:val="roman"/>
    <w:pitch w:val="variable"/>
    <w:sig w:usb0="E00006FF" w:usb1="420024FF" w:usb2="02000000" w:usb3="00000000" w:csb0="0000019F" w:csb1="00000000"/>
    <w:embedRegular r:id="rId3" w:fontKey="{33FEC9E5-0E0D-45C7-8A21-A354937BEAC8}"/>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0FCD64" w14:textId="77777777" w:rsidR="009A2DF2" w:rsidRDefault="009A2DF2">
      <w:pPr>
        <w:spacing w:line="240" w:lineRule="auto"/>
      </w:pPr>
      <w:r>
        <w:separator/>
      </w:r>
    </w:p>
  </w:footnote>
  <w:footnote w:type="continuationSeparator" w:id="0">
    <w:p w14:paraId="43AC2B3F" w14:textId="77777777" w:rsidR="009A2DF2" w:rsidRDefault="009A2DF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61" w14:textId="64A96D89" w:rsidR="00EB6606" w:rsidRDefault="009A2DF2">
    <w:pPr>
      <w:pBdr>
        <w:top w:val="nil"/>
        <w:left w:val="nil"/>
        <w:bottom w:val="nil"/>
        <w:right w:val="nil"/>
        <w:between w:val="nil"/>
      </w:pBdr>
      <w:tabs>
        <w:tab w:val="right" w:pos="9360"/>
      </w:tabs>
    </w:pPr>
    <w:r>
      <w:tab/>
    </w:r>
    <w:r>
      <w:fldChar w:fldCharType="begin"/>
    </w:r>
    <w:r>
      <w:instrText>PAGE</w:instrText>
    </w:r>
    <w:r>
      <w:fldChar w:fldCharType="separate"/>
    </w:r>
    <w:r w:rsidR="00D4266A">
      <w:rPr>
        <w:noProof/>
      </w:rPr>
      <w:t>1</w:t>
    </w:r>
    <w: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60" w14:textId="77777777" w:rsidR="00EB6606" w:rsidRDefault="009A2DF2">
    <w:pPr>
      <w:pBdr>
        <w:top w:val="nil"/>
        <w:left w:val="nil"/>
        <w:bottom w:val="nil"/>
        <w:right w:val="nil"/>
        <w:between w:val="nil"/>
      </w:pBdr>
      <w:spacing w:before="960"/>
    </w:pPr>
    <w:r>
      <w:t>Running head: TITLE OF YOUR PAPER</w:t>
    </w:r>
    <w:r>
      <w:tab/>
    </w:r>
    <w:r>
      <w:tab/>
    </w:r>
    <w:r>
      <w:tab/>
    </w:r>
    <w:r>
      <w:tab/>
    </w:r>
    <w:r>
      <w:tab/>
    </w:r>
    <w:r>
      <w:tab/>
    </w:r>
    <w:r>
      <w:tab/>
    </w:r>
    <w:r>
      <w:fldChar w:fldCharType="begin"/>
    </w:r>
    <w:r>
      <w:instrText>PAGE</w:instrText>
    </w:r>
    <w:r>
      <w:fldChar w:fldCharType="separate"/>
    </w:r>
    <w: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6606"/>
    <w:rsid w:val="00556AB3"/>
    <w:rsid w:val="009A2DF2"/>
    <w:rsid w:val="00D4266A"/>
    <w:rsid w:val="00EB66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16710E"/>
  <w15:docId w15:val="{8FC15B79-BC44-45CA-8D46-F317E59B20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jc w:val="center"/>
      <w:outlineLvl w:val="0"/>
    </w:pPr>
    <w:rPr>
      <w:b/>
      <w:bCs/>
    </w:rPr>
  </w:style>
  <w:style w:type="paragraph" w:styleId="Heading2">
    <w:name w:val="heading 2"/>
    <w:basedOn w:val="Normal"/>
    <w:next w:val="Normal"/>
    <w:uiPriority w:val="9"/>
    <w:unhideWhenUsed/>
    <w:qFormat/>
    <w:pPr>
      <w:keepNext/>
      <w:keepLines/>
      <w:outlineLvl w:val="1"/>
    </w:pPr>
    <w:rPr>
      <w:b/>
      <w:bCs/>
    </w:rPr>
  </w:style>
  <w:style w:type="paragraph" w:styleId="Heading3">
    <w:name w:val="heading 3"/>
    <w:basedOn w:val="Normal"/>
    <w:next w:val="Normal"/>
    <w:uiPriority w:val="9"/>
    <w:semiHidden/>
    <w:unhideWhenUsed/>
    <w:qFormat/>
    <w:pPr>
      <w:keepNext/>
      <w:keepLines/>
      <w:outlineLvl w:val="2"/>
    </w:pPr>
    <w:rPr>
      <w:b/>
      <w:bCs/>
      <w:i/>
      <w:iCs/>
    </w:rPr>
  </w:style>
  <w:style w:type="paragraph" w:styleId="Heading4">
    <w:name w:val="heading 4"/>
    <w:basedOn w:val="Normal"/>
    <w:next w:val="Normal"/>
    <w:uiPriority w:val="9"/>
    <w:semiHidden/>
    <w:unhideWhenUsed/>
    <w:qFormat/>
    <w:pPr>
      <w:keepNext/>
      <w:keepLines/>
      <w:ind w:firstLine="720"/>
      <w:outlineLvl w:val="3"/>
    </w:pPr>
    <w:rPr>
      <w:b/>
      <w:bCs/>
      <w:i/>
      <w:iCs/>
    </w:rPr>
  </w:style>
  <w:style w:type="paragraph" w:styleId="Heading5">
    <w:name w:val="heading 5"/>
    <w:basedOn w:val="Normal"/>
    <w:next w:val="Normal"/>
    <w:uiPriority w:val="9"/>
    <w:semiHidden/>
    <w:unhideWhenUsed/>
    <w:qFormat/>
    <w:pPr>
      <w:keepNext/>
      <w:keepLines/>
      <w:outlineLvl w:val="4"/>
    </w:pPr>
    <w:rPr>
      <w:i/>
      <w:iCs/>
    </w:rPr>
  </w:style>
  <w:style w:type="paragraph" w:styleId="Heading6">
    <w:name w:val="heading 6"/>
    <w:basedOn w:val="Normal"/>
    <w:next w:val="Normal"/>
    <w:uiPriority w:val="9"/>
    <w:semiHidden/>
    <w:unhideWhenUsed/>
    <w:qFormat/>
    <w:pPr>
      <w:keepNext/>
      <w:keepLines/>
      <w:spacing w:before="160"/>
      <w:outlineLvl w:val="5"/>
    </w:pPr>
    <w:rPr>
      <w:rFonts w:ascii="Trebuchet MS" w:eastAsia="Trebuchet MS" w:hAnsi="Trebuchet MS" w:cs="Trebuchet MS"/>
      <w:i/>
      <w:iCs/>
      <w:color w:val="666666"/>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2160"/>
      <w:jc w:val="center"/>
    </w:pPr>
    <w:rPr>
      <w:b/>
      <w:bCs/>
    </w:rPr>
  </w:style>
  <w:style w:type="paragraph" w:styleId="Subtitle">
    <w:name w:val="Subtitle"/>
    <w:basedOn w:val="Normal"/>
    <w:next w:val="Normal"/>
    <w:uiPriority w:val="11"/>
    <w:qFormat/>
    <w:pPr>
      <w:keepNext/>
      <w:keepLines/>
      <w:jc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prisonpolicy.org/blog/2021/05/13/mentalhealthimpacts/" TargetMode="External"/><Relationship Id="rId18"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yperlink" Target="https://gdc.georgia.gov/organization/about-gdc/agency-activity/research-and-reports/annual-statistical-reports/calendar-4"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prisonpolicy.org/reports/pie2024women.htm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pmc.ncbi.nlm.nih.gov/articles/PMC8092370/" TargetMode="External"/><Relationship Id="rId5" Type="http://schemas.openxmlformats.org/officeDocument/2006/relationships/settings" Target="settings.xml"/><Relationship Id="rId15" Type="http://schemas.openxmlformats.org/officeDocument/2006/relationships/hyperlink" Target="https://www.prisonpolicy.org/blog/2019/07/19/reentry/" TargetMode="External"/><Relationship Id="rId10" Type="http://schemas.openxmlformats.org/officeDocument/2006/relationships/hyperlink" Target="https://bjs.ojp.gov/employment-state-and-federal-prisoners-prior-incarceration-2016" TargetMode="Externa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s://justiceinaging.org/fair-housing-protections-for-formerly-incarcerated-and-justice-involved-older-adults/" TargetMode="External"/><Relationship Id="rId14" Type="http://schemas.openxmlformats.org/officeDocument/2006/relationships/hyperlink" Target="https://www.prisonpolicy.org/reports/pie2025.html"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6FDD796A7D2ED469BFF326B87554A4D" ma:contentTypeVersion="13" ma:contentTypeDescription="Create a new document." ma:contentTypeScope="" ma:versionID="1dce0b0209e0a59e5d1f78c0b765a947">
  <xsd:schema xmlns:xsd="http://www.w3.org/2001/XMLSchema" xmlns:xs="http://www.w3.org/2001/XMLSchema" xmlns:p="http://schemas.microsoft.com/office/2006/metadata/properties" xmlns:ns3="a63108e4-a8d1-45f5-80fb-8e14546fa9d7" xmlns:ns4="bcfd5607-0fc1-4af5-a742-d02e7c4efcba" targetNamespace="http://schemas.microsoft.com/office/2006/metadata/properties" ma:root="true" ma:fieldsID="571378eeaaa5c53c72523927c7889de0" ns3:_="" ns4:_="">
    <xsd:import namespace="a63108e4-a8d1-45f5-80fb-8e14546fa9d7"/>
    <xsd:import namespace="bcfd5607-0fc1-4af5-a742-d02e7c4efcba"/>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_activity" minOccurs="0"/>
                <xsd:element ref="ns4:SharedWithUsers" minOccurs="0"/>
                <xsd:element ref="ns4:SharedWithDetails" minOccurs="0"/>
                <xsd:element ref="ns4:SharingHintHash" minOccurs="0"/>
                <xsd:element ref="ns3:MediaServiceSearchProperties" minOccurs="0"/>
                <xsd:element ref="ns3:MediaServiceDateTaken" minOccurs="0"/>
                <xsd:element ref="ns3:MediaServiceSystemTags"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3108e4-a8d1-45f5-80fb-8e14546fa9d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_activity" ma:index="11" nillable="true" ma:displayName="_activity" ma:hidden="true" ma:internalName="_activity">
      <xsd:simpleType>
        <xsd:restriction base="dms:Note"/>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SystemTags" ma:index="17" nillable="true" ma:displayName="MediaServiceSystemTags" ma:hidden="true" ma:internalName="MediaServiceSystemTags" ma:readOnly="true">
      <xsd:simpleType>
        <xsd:restriction base="dms:Note"/>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cfd5607-0fc1-4af5-a742-d02e7c4efc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a63108e4-a8d1-45f5-80fb-8e14546fa9d7" xsi:nil="true"/>
  </documentManagement>
</p:properties>
</file>

<file path=customXml/itemProps1.xml><?xml version="1.0" encoding="utf-8"?>
<ds:datastoreItem xmlns:ds="http://schemas.openxmlformats.org/officeDocument/2006/customXml" ds:itemID="{4269F731-F07C-470A-8ED0-C86F74BD779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3108e4-a8d1-45f5-80fb-8e14546fa9d7"/>
    <ds:schemaRef ds:uri="bcfd5607-0fc1-4af5-a742-d02e7c4efc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98631AC-D66E-4C65-9ADB-6CD6E00D3810}">
  <ds:schemaRefs>
    <ds:schemaRef ds:uri="http://schemas.microsoft.com/sharepoint/v3/contenttype/forms"/>
  </ds:schemaRefs>
</ds:datastoreItem>
</file>

<file path=customXml/itemProps3.xml><?xml version="1.0" encoding="utf-8"?>
<ds:datastoreItem xmlns:ds="http://schemas.openxmlformats.org/officeDocument/2006/customXml" ds:itemID="{ED9580BF-4EEA-4805-A8EC-FDD62543ABAC}">
  <ds:schemaRefs>
    <ds:schemaRef ds:uri="http://schemas.microsoft.com/office/2006/metadata/properties"/>
    <ds:schemaRef ds:uri="http://schemas.microsoft.com/office/infopath/2007/PartnerControls"/>
    <ds:schemaRef ds:uri="a63108e4-a8d1-45f5-80fb-8e14546fa9d7"/>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3361</Words>
  <Characters>19900</Characters>
  <Application>Microsoft Office Word</Application>
  <DocSecurity>0</DocSecurity>
  <Lines>326</Lines>
  <Paragraphs>71</Paragraphs>
  <ScaleCrop>false</ScaleCrop>
  <Company/>
  <LinksUpToDate>false</LinksUpToDate>
  <CharactersWithSpaces>23190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Alexia Cruz</dc:creator>
  <cp:lastModifiedBy>Alexia Cruz</cp:lastModifiedBy>
  <cp:revision>2</cp:revision>
  <dcterms:created xsi:type="dcterms:W3CDTF">2026-04-02T22:31:00Z</dcterms:created>
  <dcterms:modified xsi:type="dcterms:W3CDTF">2026-04-02T22:31:00Z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0x01010056FDD796A7D2ED469BFF326B87554A4D</vt:lpwstr>
  </property>
</Properties>
</file>